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AE6A28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4D797A" w:rsidRDefault="00403C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03C96">
              <w:rPr>
                <w:rFonts w:asciiTheme="minorHAnsi" w:hAnsiTheme="minorHAnsi"/>
                <w:noProof/>
                <w:szCs w:val="22"/>
                <w:lang w:val="es-EC" w:eastAsia="es-EC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-24.9pt;margin-top:-48.6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PtOc3uIAAAAMAQAADwAA&#10;AGRycy9kb3ducmV2LnhtbEyPwU7DMBBE70j8g7VI3Fq7uKI0xKmAQDggVaKtxNWNTRIRr0PspOHv&#10;2Z7gtjs7mnmbbibXstH2ofGoYDEXwCyW3jRYKTjsX2Z3wELUaHTr0Sr4sQE22eVFqhPjT/hux12s&#10;GIVgSLSCOsYu4TyUtXU6zH1nkW6fvnc60tpX3PT6ROGu5TdC3HKnG6SGWnf2qbbl125wCvKhlFv5&#10;2ORY5NuxePt+LZ7jh1LXV9PDPbBop/hnhjM+oUNGTEc/oAmsVTBbrgk90rBeSWBnh1jIFbAjSXIp&#10;gGcp//9E9gsAAP//AwBQSwECLQAUAAYACAAAACEAtoM4kv4AAADhAQAAEwAAAAAAAAAAAAAAAAAA&#10;AAAAW0NvbnRlbnRfVHlwZXNdLnhtbFBLAQItABQABgAIAAAAIQA4/SH/1gAAAJQBAAALAAAAAAAA&#10;AAAAAAAAAC8BAABfcmVscy8ucmVsc1BLAQItABQABgAIAAAAIQA+aPpk4QIAAGUGAAAOAAAAAAAA&#10;AAAAAAAAAC4CAABkcnMvZTJvRG9jLnhtbFBLAQItABQABgAIAAAAIQA+05ze4gAAAAwBAAAPAAAA&#10;AAAAAAAAAAAAADsFAABkcnMvZG93bnJldi54bWxQSwUGAAAAAAQABADzAAAASgYAAAAA&#10;" fillcolor="white [3201]" strokecolor="#92cddc [1944]" strokeweight="1pt">
                  <v:fill color2="#b6dde8 [1304]" rotate="t" focus="100%" type="gradient"/>
                  <v:shadow on="t" color="#205867 [1608]" opacity=".5" offset="1pt"/>
                  <v:textbox>
                    <w:txbxContent>
                      <w:p w:rsidR="00955B28" w:rsidRPr="00BF05E8" w:rsidRDefault="004C75EA" w:rsidP="00FC47BC">
                        <w:pPr>
                          <w:jc w:val="center"/>
                          <w:cnfStyle w:val="101000000000"/>
                          <w:rPr>
                            <w:rFonts w:ascii="Garamond" w:hAnsi="Garamond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aramond" w:hAnsi="Garamond"/>
                            <w:b/>
                            <w:bCs/>
                            <w:sz w:val="40"/>
                            <w:szCs w:val="40"/>
                          </w:rPr>
                          <w:t>Hoja Metodológica</w:t>
                        </w:r>
                        <w:r w:rsidR="00955B28" w:rsidRPr="00BF05E8">
                          <w:rPr>
                            <w:rFonts w:ascii="Garamond" w:hAnsi="Garamond"/>
                            <w:b/>
                            <w:bCs/>
                            <w:sz w:val="40"/>
                            <w:szCs w:val="40"/>
                          </w:rPr>
                          <w:t xml:space="preserve"> </w:t>
                        </w:r>
                        <w:r w:rsidR="00EA3240">
                          <w:rPr>
                            <w:rFonts w:ascii="Garamond" w:hAnsi="Garamond"/>
                            <w:b/>
                            <w:bCs/>
                            <w:sz w:val="40"/>
                            <w:szCs w:val="40"/>
                          </w:rPr>
                          <w:t>del Indicador</w:t>
                        </w:r>
                      </w:p>
                    </w:txbxContent>
                  </v:textbox>
                </v:shape>
              </w:pict>
            </w:r>
            <w:r w:rsidR="003D2B37" w:rsidRPr="004D797A">
              <w:rPr>
                <w:rFonts w:asciiTheme="minorHAnsi" w:hAnsiTheme="minorHAnsi"/>
                <w:color w:val="000000" w:themeColor="text1"/>
                <w:szCs w:val="22"/>
              </w:rPr>
              <w:t>Nombre de</w:t>
            </w:r>
            <w:r w:rsidR="00A261B0" w:rsidRPr="004D797A">
              <w:rPr>
                <w:rFonts w:asciiTheme="minorHAnsi" w:hAnsiTheme="minorHAnsi"/>
                <w:color w:val="000000" w:themeColor="text1"/>
                <w:szCs w:val="22"/>
              </w:rPr>
              <w:t>l Indicador</w:t>
            </w:r>
          </w:p>
        </w:tc>
        <w:tc>
          <w:tcPr>
            <w:tcW w:w="6379" w:type="dxa"/>
          </w:tcPr>
          <w:p w:rsidR="0072291C" w:rsidRPr="00AE6A28" w:rsidRDefault="00823937" w:rsidP="00AE6A28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b w:val="0"/>
                <w:sz w:val="20"/>
                <w:lang w:val="es-CL"/>
              </w:rPr>
              <w:t>Razón</w:t>
            </w:r>
            <w:r w:rsidR="00721B73" w:rsidRPr="00AE6A28">
              <w:rPr>
                <w:rFonts w:asciiTheme="minorHAnsi" w:hAnsiTheme="minorHAnsi" w:cstheme="minorHAnsi"/>
                <w:b w:val="0"/>
                <w:sz w:val="20"/>
                <w:lang w:val="es-CL"/>
              </w:rPr>
              <w:t xml:space="preserve"> de mortalidad materna</w:t>
            </w:r>
            <w:r w:rsidR="001D6410" w:rsidRPr="00AE6A28">
              <w:rPr>
                <w:rFonts w:asciiTheme="minorHAnsi" w:hAnsiTheme="minorHAnsi" w:cstheme="minorHAnsi"/>
                <w:b w:val="0"/>
                <w:sz w:val="20"/>
                <w:lang w:val="es-CL"/>
              </w:rPr>
              <w:t xml:space="preserve"> </w:t>
            </w:r>
          </w:p>
        </w:tc>
      </w:tr>
      <w:tr w:rsidR="00D1209C" w:rsidRPr="00FE2CEC" w:rsidTr="00AE6A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1209C" w:rsidRPr="004D797A" w:rsidRDefault="00D1209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D1209C" w:rsidRPr="00AE6A28" w:rsidRDefault="00AE6A28" w:rsidP="00EA18DE">
            <w:pPr>
              <w:jc w:val="both"/>
              <w:cnfStyle w:val="00000010000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  <w:r w:rsidRPr="00AE6A28">
              <w:rPr>
                <w:rFonts w:asciiTheme="minorHAnsi" w:eastAsiaTheme="minorHAnsi" w:hAnsiTheme="minorHAnsi"/>
                <w:sz w:val="20"/>
              </w:rPr>
              <w:t>Registros administrativos</w:t>
            </w:r>
          </w:p>
        </w:tc>
      </w:tr>
      <w:tr w:rsidR="000E71D9" w:rsidRPr="00FE2CEC" w:rsidTr="00AE6A2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4D797A" w:rsidRDefault="00A44B73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0E71D9" w:rsidRPr="00AE6A28" w:rsidRDefault="00772315" w:rsidP="00A328DC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 w:val="20"/>
              </w:rPr>
            </w:pPr>
            <w:r w:rsidRPr="00AE6A28">
              <w:rPr>
                <w:rFonts w:asciiTheme="minorHAnsi" w:hAnsiTheme="minorHAnsi" w:cstheme="minorHAnsi"/>
                <w:sz w:val="20"/>
              </w:rPr>
              <w:t>Es el número de defunciones maternas en relación a los nacidos vivos del mismo</w:t>
            </w:r>
            <w:r w:rsidR="00A328DC">
              <w:rPr>
                <w:rFonts w:asciiTheme="minorHAnsi" w:hAnsiTheme="minorHAnsi" w:cstheme="minorHAnsi"/>
                <w:sz w:val="20"/>
              </w:rPr>
              <w:t xml:space="preserve"> período, expresado por 100.000.</w:t>
            </w:r>
          </w:p>
        </w:tc>
      </w:tr>
      <w:tr w:rsidR="00FC47BC" w:rsidRPr="00FE2CEC" w:rsidTr="00AE6A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4D797A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FC47BC" w:rsidRPr="00AE6A28" w:rsidRDefault="00772315" w:rsidP="00721B7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E6A28">
              <w:rPr>
                <w:rFonts w:asciiTheme="minorHAnsi" w:eastAsiaTheme="minorHAnsi" w:hAnsiTheme="minorHAnsi" w:cstheme="minorHAnsi"/>
                <w:sz w:val="20"/>
                <w:lang w:val="es-EC"/>
              </w:rPr>
              <w:t>Razón</w:t>
            </w:r>
          </w:p>
        </w:tc>
      </w:tr>
      <w:tr w:rsidR="00280F9C" w:rsidRPr="00FE2CEC" w:rsidTr="00AE6A28">
        <w:trPr>
          <w:cnfStyle w:val="000000010000"/>
          <w:trHeight w:val="1759"/>
        </w:trPr>
        <w:tc>
          <w:tcPr>
            <w:cnfStyle w:val="001000000000"/>
            <w:tcW w:w="4219" w:type="dxa"/>
          </w:tcPr>
          <w:p w:rsidR="00280F9C" w:rsidRPr="004D797A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Fórmula de Cálculo del Indicador</w:t>
            </w:r>
          </w:p>
        </w:tc>
        <w:tc>
          <w:tcPr>
            <w:tcW w:w="6379" w:type="dxa"/>
          </w:tcPr>
          <w:p w:rsidR="00280F9C" w:rsidRPr="00AE6A28" w:rsidRDefault="00772315" w:rsidP="0026289F">
            <w:pPr>
              <w:jc w:val="both"/>
              <w:cnfStyle w:val="000000010000"/>
              <w:rPr>
                <w:rFonts w:asciiTheme="minorHAnsi" w:hAnsiTheme="minorHAnsi" w:cstheme="minorHAnsi"/>
                <w:noProof/>
                <w:sz w:val="20"/>
                <w:lang w:val="es-EC" w:eastAsia="es-EC"/>
              </w:rPr>
            </w:pPr>
            <w:r w:rsidRPr="00AE6A28">
              <w:rPr>
                <w:rFonts w:asciiTheme="minorHAnsi" w:hAnsiTheme="minorHAnsi" w:cstheme="minorHAnsi"/>
                <w:noProof/>
                <w:sz w:val="20"/>
                <w:lang w:val="es-EC" w:eastAsia="es-EC"/>
              </w:rPr>
              <w:t xml:space="preserve">RMM= </w:t>
            </w:r>
            <w:r w:rsidRPr="00AE6A28">
              <w:rPr>
                <w:rFonts w:asciiTheme="minorHAnsi" w:hAnsiTheme="minorHAnsi" w:cstheme="minorHAnsi"/>
                <w:noProof/>
                <w:sz w:val="20"/>
                <w:u w:val="single"/>
                <w:lang w:val="es-EC" w:eastAsia="es-EC"/>
              </w:rPr>
              <w:t>D</w:t>
            </w:r>
            <w:r w:rsidRPr="00AE6A28">
              <w:rPr>
                <w:rFonts w:asciiTheme="minorHAnsi" w:hAnsiTheme="minorHAnsi" w:cstheme="minorHAnsi"/>
                <w:noProof/>
                <w:sz w:val="20"/>
                <w:u w:val="single"/>
                <w:vertAlign w:val="subscript"/>
                <w:lang w:val="es-EC" w:eastAsia="es-EC"/>
              </w:rPr>
              <w:t>m</w:t>
            </w:r>
            <w:r w:rsidRPr="00AE6A28">
              <w:rPr>
                <w:rFonts w:asciiTheme="minorHAnsi" w:hAnsiTheme="minorHAnsi" w:cstheme="minorHAnsi"/>
                <w:noProof/>
                <w:sz w:val="20"/>
                <w:u w:val="single"/>
                <w:vertAlign w:val="superscript"/>
                <w:lang w:val="es-EC" w:eastAsia="es-EC"/>
              </w:rPr>
              <w:t>t</w:t>
            </w:r>
            <w:r w:rsidRPr="00AE6A28">
              <w:rPr>
                <w:rFonts w:asciiTheme="minorHAnsi" w:hAnsiTheme="minorHAnsi" w:cstheme="minorHAnsi"/>
                <w:noProof/>
                <w:sz w:val="20"/>
                <w:u w:val="single"/>
                <w:lang w:val="es-EC" w:eastAsia="es-EC"/>
              </w:rPr>
              <w:t xml:space="preserve"> </w:t>
            </w:r>
            <w:r w:rsidRPr="00AE6A28">
              <w:rPr>
                <w:rFonts w:asciiTheme="minorHAnsi" w:hAnsiTheme="minorHAnsi" w:cstheme="minorHAnsi"/>
                <w:noProof/>
                <w:sz w:val="20"/>
                <w:lang w:val="es-EC" w:eastAsia="es-EC"/>
              </w:rPr>
              <w:t xml:space="preserve">   x   100.000 </w:t>
            </w:r>
          </w:p>
          <w:p w:rsidR="00772315" w:rsidRPr="00AE6A28" w:rsidRDefault="00772315" w:rsidP="0026289F">
            <w:pPr>
              <w:jc w:val="both"/>
              <w:cnfStyle w:val="000000010000"/>
              <w:rPr>
                <w:rFonts w:asciiTheme="minorHAnsi" w:hAnsiTheme="minorHAnsi" w:cstheme="minorHAnsi"/>
                <w:noProof/>
                <w:sz w:val="20"/>
                <w:lang w:val="es-EC" w:eastAsia="es-EC"/>
              </w:rPr>
            </w:pPr>
            <w:r w:rsidRPr="00AE6A28">
              <w:rPr>
                <w:rFonts w:asciiTheme="minorHAnsi" w:hAnsiTheme="minorHAnsi" w:cstheme="minorHAnsi"/>
                <w:noProof/>
                <w:sz w:val="20"/>
                <w:lang w:val="es-EC" w:eastAsia="es-EC"/>
              </w:rPr>
              <w:t xml:space="preserve">            N</w:t>
            </w:r>
            <w:r w:rsidR="00A328DC">
              <w:rPr>
                <w:rFonts w:asciiTheme="minorHAnsi" w:hAnsiTheme="minorHAnsi" w:cstheme="minorHAnsi"/>
                <w:noProof/>
                <w:sz w:val="20"/>
                <w:lang w:val="es-EC" w:eastAsia="es-EC"/>
              </w:rPr>
              <w:t>V</w:t>
            </w:r>
            <w:r w:rsidRPr="00AE6A28">
              <w:rPr>
                <w:rFonts w:asciiTheme="minorHAnsi" w:hAnsiTheme="minorHAnsi" w:cstheme="minorHAnsi"/>
                <w:noProof/>
                <w:sz w:val="20"/>
                <w:vertAlign w:val="superscript"/>
                <w:lang w:val="es-EC" w:eastAsia="es-EC"/>
              </w:rPr>
              <w:t>t</w:t>
            </w:r>
          </w:p>
          <w:p w:rsidR="00772315" w:rsidRPr="00AE6A28" w:rsidRDefault="00772315" w:rsidP="0026289F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RMM= Razón de mortalidad materna</w:t>
            </w:r>
          </w:p>
          <w:p w:rsidR="00772315" w:rsidRPr="00AE6A28" w:rsidRDefault="00772315" w:rsidP="0026289F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  <w:lang w:val="es-CL"/>
              </w:rPr>
            </w:pPr>
            <w:proofErr w:type="spellStart"/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D</w:t>
            </w:r>
            <w:r w:rsidRPr="00AE6A28">
              <w:rPr>
                <w:rFonts w:asciiTheme="minorHAnsi" w:hAnsiTheme="minorHAnsi" w:cstheme="minorHAnsi"/>
                <w:sz w:val="20"/>
                <w:vertAlign w:val="subscript"/>
                <w:lang w:val="es-CL"/>
              </w:rPr>
              <w:t>m</w:t>
            </w:r>
            <w:r w:rsidRPr="00AE6A28">
              <w:rPr>
                <w:rFonts w:asciiTheme="minorHAnsi" w:hAnsiTheme="minorHAnsi" w:cstheme="minorHAnsi"/>
                <w:sz w:val="20"/>
                <w:vertAlign w:val="superscript"/>
                <w:lang w:val="es-CL"/>
              </w:rPr>
              <w:t>t</w:t>
            </w:r>
            <w:proofErr w:type="spellEnd"/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= Número de defunciones maternas en año t</w:t>
            </w:r>
          </w:p>
          <w:p w:rsidR="00772315" w:rsidRPr="00AE6A28" w:rsidRDefault="00772315" w:rsidP="0026289F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  <w:lang w:val="es-CL"/>
              </w:rPr>
            </w:pPr>
            <w:proofErr w:type="spellStart"/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N</w:t>
            </w:r>
            <w:r w:rsidR="00A328DC">
              <w:rPr>
                <w:rFonts w:asciiTheme="minorHAnsi" w:hAnsiTheme="minorHAnsi" w:cstheme="minorHAnsi"/>
                <w:sz w:val="20"/>
                <w:lang w:val="es-CL"/>
              </w:rPr>
              <w:t>V</w:t>
            </w:r>
            <w:r w:rsidRPr="00AE6A28">
              <w:rPr>
                <w:rFonts w:asciiTheme="minorHAnsi" w:hAnsiTheme="minorHAnsi" w:cstheme="minorHAnsi"/>
                <w:sz w:val="20"/>
                <w:vertAlign w:val="superscript"/>
                <w:lang w:val="es-CL"/>
              </w:rPr>
              <w:t>t</w:t>
            </w:r>
            <w:proofErr w:type="spellEnd"/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= Número de nacidos vivos en año t</w:t>
            </w:r>
          </w:p>
        </w:tc>
      </w:tr>
      <w:tr w:rsidR="003D2B37" w:rsidRPr="00FE2CEC" w:rsidTr="00AE6A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4D797A" w:rsidRDefault="0002306B" w:rsidP="0026289F">
            <w:pPr>
              <w:jc w:val="both"/>
              <w:rPr>
                <w:rFonts w:ascii="Calibri" w:hAnsi="Calibri"/>
                <w:szCs w:val="22"/>
              </w:rPr>
            </w:pPr>
            <w:r w:rsidRPr="004D797A">
              <w:rPr>
                <w:rFonts w:ascii="Calibri" w:hAnsi="Calibri"/>
                <w:szCs w:val="22"/>
              </w:rPr>
              <w:t>Definición de las variables que componen el indicador</w:t>
            </w:r>
          </w:p>
          <w:p w:rsidR="003D2B37" w:rsidRPr="004D797A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</w:p>
        </w:tc>
        <w:tc>
          <w:tcPr>
            <w:tcW w:w="6379" w:type="dxa"/>
          </w:tcPr>
          <w:p w:rsidR="003D2B37" w:rsidRPr="00AE6A28" w:rsidRDefault="00721B73" w:rsidP="00B05893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Nacido vivo</w:t>
            </w:r>
            <w:r w:rsidR="00B05893" w:rsidRPr="00AE6A28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 xml:space="preserve">: </w:t>
            </w:r>
            <w:r w:rsidR="00B05893" w:rsidRPr="00AE6A28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Es la expulsión o extracción completa del cuerpo de su madre, independientemente de la duración del embarazo de un producto de la concepción que, después de dicha separación, respire o de cualquier otra señal de vida, como latidos del corazón, pulsaciones del cordón umbilical o movimientos efectivos de los músculos de contracción voluntaria, tanto si se ha cortado o no el cordón umbilical  y esté o no desprendida  la placenta.  Cada producto de un nacimiento que reúna esas condiciones se considera como un nacido vivo.</w:t>
            </w:r>
          </w:p>
          <w:p w:rsidR="00B05893" w:rsidRPr="00AE6A28" w:rsidRDefault="00721B73" w:rsidP="00B05893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Defunción materna</w:t>
            </w:r>
            <w:r w:rsidR="00E97BB3" w:rsidRPr="00AE6A28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:</w:t>
            </w:r>
            <w:r w:rsidR="000E6D78" w:rsidRPr="00AE6A28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 xml:space="preserve"> </w:t>
            </w:r>
            <w:r w:rsidR="00772315" w:rsidRPr="00AE6A28">
              <w:rPr>
                <w:rFonts w:asciiTheme="minorHAnsi" w:eastAsiaTheme="minorHAnsi" w:hAnsiTheme="minorHAnsi" w:cstheme="minorHAnsi"/>
                <w:sz w:val="20"/>
                <w:lang w:val="es-EC"/>
              </w:rPr>
              <w:t>Se define como la muerte de una mujer durante el embarazo o en los 42 días posteriores a la terminación del embarazo, independientemente de su duración y resultado, debido a cualquier causa relacionada o agravada por el mismo o la atención recibida, pero no por causas accidentales o incidentales.</w:t>
            </w:r>
          </w:p>
          <w:p w:rsidR="00913CAE" w:rsidRPr="00AE6A28" w:rsidRDefault="00913CAE" w:rsidP="00B05893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</w:p>
          <w:p w:rsidR="00913CAE" w:rsidRPr="00AE6A28" w:rsidRDefault="00913CAE" w:rsidP="00913CA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</w:p>
        </w:tc>
      </w:tr>
      <w:tr w:rsidR="00F5519B" w:rsidRPr="00FE2CEC" w:rsidTr="00AE6A2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4D797A" w:rsidRDefault="0002306B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  <w:r w:rsidRPr="004D797A">
              <w:rPr>
                <w:rFonts w:ascii="Calibri" w:hAnsi="Calibri"/>
                <w:color w:val="auto"/>
                <w:szCs w:val="22"/>
              </w:rPr>
              <w:t>Interpretación del Indicador</w:t>
            </w:r>
          </w:p>
        </w:tc>
        <w:tc>
          <w:tcPr>
            <w:tcW w:w="6379" w:type="dxa"/>
          </w:tcPr>
          <w:p w:rsidR="006F6513" w:rsidRPr="00AE6A28" w:rsidRDefault="00E57AF4" w:rsidP="006F6513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  <w:lang w:val="es-EC" w:eastAsia="es-EC"/>
              </w:rPr>
            </w:pPr>
            <w:r w:rsidRPr="00AE6A28">
              <w:rPr>
                <w:rFonts w:asciiTheme="minorHAnsi" w:hAnsiTheme="minorHAnsi" w:cstheme="minorHAnsi"/>
                <w:sz w:val="20"/>
                <w:lang w:val="es-EC" w:eastAsia="es-EC"/>
              </w:rPr>
              <w:t>En el 2009, fallecieron 69,7</w:t>
            </w:r>
            <w:r w:rsidR="002B493A" w:rsidRPr="00AE6A28">
              <w:rPr>
                <w:rFonts w:asciiTheme="minorHAnsi" w:hAnsiTheme="minorHAnsi" w:cstheme="minorHAnsi"/>
                <w:sz w:val="20"/>
                <w:lang w:val="es-EC" w:eastAsia="es-EC"/>
              </w:rPr>
              <w:t xml:space="preserve"> mujeres por causas relacionadas al embarazo, parto y puerperio por cada 100.000 nacidos vivos.</w:t>
            </w:r>
          </w:p>
          <w:p w:rsidR="00F5519B" w:rsidRPr="00AE6A28" w:rsidRDefault="00F5519B" w:rsidP="0026289F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 w:val="20"/>
                <w:lang w:val="es-EC"/>
              </w:rPr>
            </w:pPr>
          </w:p>
        </w:tc>
      </w:tr>
      <w:tr w:rsidR="00BB5257" w:rsidRPr="00FE2CEC" w:rsidTr="00AE6A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63657C" w:rsidRPr="00AE6A28" w:rsidRDefault="0063657C" w:rsidP="0063657C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AE6A28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BB5257" w:rsidRPr="00AE6A28" w:rsidRDefault="0063657C" w:rsidP="0063657C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AE6A28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BB5257" w:rsidRPr="00FE2CEC" w:rsidTr="00AE6A28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BB5257" w:rsidRPr="00AE6A28" w:rsidRDefault="00B32F92" w:rsidP="004F6FF8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>Registros administrativos (Oficinas de Registro Civil, Identificación y Cedulación)  -  Estadístic</w:t>
            </w:r>
            <w:r w:rsidR="004F6FF8">
              <w:rPr>
                <w:rFonts w:asciiTheme="minorHAnsi" w:hAnsiTheme="minorHAnsi" w:cs="Helvetica"/>
                <w:color w:val="000000"/>
                <w:sz w:val="20"/>
              </w:rPr>
              <w:t>a de Nacimientos y Defunciones  (</w:t>
            </w:r>
            <w:r>
              <w:rPr>
                <w:rFonts w:asciiTheme="minorHAnsi" w:hAnsiTheme="minorHAnsi" w:cs="Helvetica"/>
                <w:color w:val="000000"/>
                <w:sz w:val="20"/>
              </w:rPr>
              <w:t>INEC</w:t>
            </w:r>
            <w:r w:rsidR="004F6FF8">
              <w:rPr>
                <w:rFonts w:asciiTheme="minorHAnsi" w:hAnsiTheme="minorHAnsi" w:cs="Helvetica"/>
                <w:color w:val="000000"/>
                <w:sz w:val="20"/>
              </w:rPr>
              <w:t>)</w:t>
            </w:r>
          </w:p>
        </w:tc>
      </w:tr>
      <w:tr w:rsidR="00BB5257" w:rsidRPr="00FE2CEC" w:rsidTr="00AE6A28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Periodo de Cobertura</w:t>
            </w:r>
          </w:p>
        </w:tc>
        <w:tc>
          <w:tcPr>
            <w:tcW w:w="6379" w:type="dxa"/>
          </w:tcPr>
          <w:p w:rsidR="00BB5257" w:rsidRPr="00AE6A28" w:rsidRDefault="00BB5257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sz w:val="20"/>
              </w:rPr>
              <w:t>Enero a Diciembre del año de investigación</w:t>
            </w:r>
          </w:p>
        </w:tc>
      </w:tr>
      <w:tr w:rsidR="00BB5257" w:rsidRPr="00FE2CEC" w:rsidTr="00AE6A28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Theme="minorHAnsi" w:hAnsiTheme="minorHAnsi"/>
                <w:color w:val="000000" w:themeColor="text1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BB5257" w:rsidRPr="00AE6A28" w:rsidRDefault="00BB5257" w:rsidP="00721B73">
            <w:pPr>
              <w:cnfStyle w:val="000000010000"/>
              <w:rPr>
                <w:rFonts w:asciiTheme="minorHAnsi" w:hAnsiTheme="minorHAnsi" w:cstheme="minorHAnsi"/>
                <w:sz w:val="20"/>
              </w:rPr>
            </w:pPr>
            <w:r w:rsidRPr="00AE6A28">
              <w:rPr>
                <w:rFonts w:asciiTheme="minorHAnsi" w:hAnsiTheme="minorHAnsi" w:cstheme="minorHAnsi"/>
                <w:sz w:val="20"/>
              </w:rPr>
              <w:t>Provincial</w:t>
            </w:r>
          </w:p>
        </w:tc>
      </w:tr>
      <w:tr w:rsidR="00BB5257" w:rsidRPr="00FE2CEC" w:rsidTr="00AE6A28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4D797A">
              <w:rPr>
                <w:rFonts w:ascii="Calibri" w:hAnsi="Calibr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BB5257" w:rsidRPr="00AE6A28" w:rsidRDefault="00BB5257" w:rsidP="00721B73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9E1315" w:rsidRPr="00AE6A28">
              <w:rPr>
                <w:rFonts w:asciiTheme="minorHAnsi" w:hAnsiTheme="minorHAnsi" w:cstheme="minorHAnsi"/>
                <w:sz w:val="20"/>
              </w:rPr>
              <w:t>1985</w:t>
            </w:r>
            <w:r w:rsidRPr="00AE6A28">
              <w:rPr>
                <w:rFonts w:asciiTheme="minorHAnsi" w:hAnsiTheme="minorHAnsi" w:cstheme="minorHAnsi"/>
                <w:sz w:val="20"/>
              </w:rPr>
              <w:t xml:space="preserve"> al 2010</w:t>
            </w:r>
          </w:p>
        </w:tc>
      </w:tr>
      <w:tr w:rsidR="00BB5257" w:rsidRPr="00FE2CEC" w:rsidTr="00AE6A28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4D797A">
              <w:rPr>
                <w:rFonts w:asciiTheme="minorHAnsi" w:hAnsiTheme="minorHAnsi"/>
                <w:szCs w:val="22"/>
              </w:rPr>
              <w:t>Limitaciones</w:t>
            </w:r>
          </w:p>
        </w:tc>
        <w:tc>
          <w:tcPr>
            <w:tcW w:w="6379" w:type="dxa"/>
          </w:tcPr>
          <w:p w:rsidR="00BB5257" w:rsidRPr="00AE6A28" w:rsidRDefault="00BB5257" w:rsidP="0026289F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 xml:space="preserve">Los datos están afectados por </w:t>
            </w:r>
            <w:proofErr w:type="spellStart"/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subregistros</w:t>
            </w:r>
            <w:proofErr w:type="spellEnd"/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>, inscripciones tardías y baja calidad de las causas de defunción.</w:t>
            </w:r>
          </w:p>
        </w:tc>
      </w:tr>
      <w:tr w:rsidR="00BB5257" w:rsidRPr="00FE2CEC" w:rsidTr="00AE6A28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BB5257" w:rsidRPr="004D797A" w:rsidRDefault="00BB5257" w:rsidP="00AE6A28">
            <w:pPr>
              <w:jc w:val="both"/>
              <w:rPr>
                <w:rFonts w:asciiTheme="minorHAnsi" w:hAnsiTheme="minorHAnsi"/>
                <w:szCs w:val="22"/>
              </w:rPr>
            </w:pPr>
            <w:r w:rsidRPr="004D797A">
              <w:rPr>
                <w:rFonts w:ascii="Calibri" w:hAnsi="Calibri"/>
                <w:szCs w:val="22"/>
              </w:rPr>
              <w:lastRenderedPageBreak/>
              <w:t xml:space="preserve">Periodicidad de </w:t>
            </w:r>
            <w:r w:rsidR="00AE6A28" w:rsidRPr="004D797A">
              <w:rPr>
                <w:rFonts w:ascii="Calibri" w:hAnsi="Calibri"/>
                <w:szCs w:val="22"/>
              </w:rPr>
              <w:t>producción del indicador</w:t>
            </w:r>
          </w:p>
        </w:tc>
        <w:tc>
          <w:tcPr>
            <w:tcW w:w="6379" w:type="dxa"/>
          </w:tcPr>
          <w:p w:rsidR="00BB5257" w:rsidRPr="00AE6A28" w:rsidRDefault="00BB5257" w:rsidP="00947778">
            <w:pPr>
              <w:jc w:val="both"/>
              <w:cnfStyle w:val="000000100000"/>
              <w:rPr>
                <w:rFonts w:asciiTheme="minorHAnsi" w:hAnsiTheme="minorHAnsi" w:cstheme="minorHAnsi"/>
                <w:sz w:val="20"/>
              </w:rPr>
            </w:pPr>
            <w:r w:rsidRPr="00AE6A28">
              <w:rPr>
                <w:rFonts w:asciiTheme="minorHAnsi" w:hAnsiTheme="minorHAnsi" w:cstheme="minorHAnsi"/>
                <w:sz w:val="20"/>
                <w:lang w:val="es-CL"/>
              </w:rPr>
              <w:t xml:space="preserve">Anual </w:t>
            </w:r>
          </w:p>
        </w:tc>
      </w:tr>
      <w:tr w:rsidR="00BB5257" w:rsidRPr="00FE2CEC" w:rsidTr="00AE6A28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BB5257" w:rsidRPr="004D797A" w:rsidRDefault="00BB5257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4D797A">
              <w:rPr>
                <w:rFonts w:asciiTheme="minorHAnsi" w:hAnsi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BB5257" w:rsidRPr="00AE6A28" w:rsidRDefault="00BB5257" w:rsidP="002B493A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</w:rPr>
            </w:pPr>
            <w:bookmarkStart w:id="0" w:name="_GoBack"/>
            <w:bookmarkEnd w:id="0"/>
            <w:r w:rsidRPr="00AE6A28">
              <w:rPr>
                <w:rFonts w:asciiTheme="minorHAnsi" w:hAnsiTheme="minorHAnsi" w:cstheme="minorHAnsi"/>
                <w:sz w:val="20"/>
              </w:rPr>
              <w:t>Medición de mortalidad materna, este indicador es utilizado en la evaluación del estado de salud de la población y sus condiciones de vida, así como para la construcción de políticas sociales.</w:t>
            </w:r>
          </w:p>
          <w:p w:rsidR="00274BB0" w:rsidRPr="00AE6A28" w:rsidRDefault="00274BB0" w:rsidP="002B493A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</w:rPr>
            </w:pPr>
            <w:r w:rsidRPr="00AE6A28">
              <w:rPr>
                <w:rFonts w:asciiTheme="minorHAnsi" w:hAnsiTheme="minorHAnsi" w:cstheme="minorHAnsi"/>
                <w:sz w:val="20"/>
              </w:rPr>
              <w:t xml:space="preserve">Este indicador es utilizado en la formulación de políticas de salud pública ya que la mortalidad materna es considerada como una </w:t>
            </w:r>
            <w:r w:rsidRPr="00AE6A28">
              <w:rPr>
                <w:rFonts w:asciiTheme="minorHAnsi" w:hAnsiTheme="minorHAnsi"/>
                <w:sz w:val="20"/>
              </w:rPr>
              <w:t>“Epidemia Silenciosa”.</w:t>
            </w:r>
          </w:p>
        </w:tc>
      </w:tr>
      <w:tr w:rsidR="002A6C67" w:rsidRPr="00FE2CEC" w:rsidTr="00AE6A28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2A6C67" w:rsidRPr="004D797A" w:rsidRDefault="002A6C67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Cs w:val="22"/>
                <w:lang w:eastAsia="es-ES"/>
              </w:rPr>
            </w:pPr>
            <w:r w:rsidRPr="004D797A">
              <w:rPr>
                <w:rFonts w:asciiTheme="minorHAnsi" w:hAnsiTheme="minorHAnsi" w:cs="Arial"/>
                <w:bCs w:val="0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2A6C67" w:rsidRPr="00AE6A28" w:rsidRDefault="002A6C67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AE6A28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2A6C67" w:rsidRPr="00FE2CEC" w:rsidTr="00AE6A28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2A6C67" w:rsidRPr="004D797A" w:rsidRDefault="002A6C67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Cs w:val="22"/>
                <w:lang w:eastAsia="es-ES"/>
              </w:rPr>
            </w:pPr>
            <w:r w:rsidRPr="004D797A">
              <w:rPr>
                <w:rFonts w:asciiTheme="minorHAnsi" w:hAnsiTheme="minorHAnsi" w:cs="Arial"/>
                <w:szCs w:val="22"/>
                <w:lang w:eastAsia="es-ES"/>
              </w:rPr>
              <w:t xml:space="preserve">Información </w:t>
            </w:r>
            <w:proofErr w:type="spellStart"/>
            <w:r w:rsidRPr="004D797A">
              <w:rPr>
                <w:rFonts w:asciiTheme="minorHAnsi" w:hAnsiTheme="minorHAnsi" w:cs="Arial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2A6C67" w:rsidRPr="00AE6A28" w:rsidRDefault="002A6C67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AE6A28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16659E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2A6C67" w:rsidRPr="00FE2CEC" w:rsidTr="00AE6A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A6C67" w:rsidRPr="004D797A" w:rsidRDefault="002A6C67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Cs w:val="22"/>
                <w:lang w:eastAsia="es-ES"/>
              </w:rPr>
            </w:pPr>
            <w:r w:rsidRPr="004D797A">
              <w:rPr>
                <w:rFonts w:ascii="Calibri" w:hAnsi="Calibri" w:cs="Arial"/>
                <w:bCs w:val="0"/>
                <w:szCs w:val="22"/>
                <w:lang w:eastAsia="es-ES"/>
              </w:rPr>
              <w:t>Fecha de elaboración de la ficha:</w:t>
            </w:r>
          </w:p>
          <w:p w:rsidR="002A6C67" w:rsidRPr="004D797A" w:rsidRDefault="002A6C67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2A6C67" w:rsidRPr="00AE6A28" w:rsidRDefault="002A6C67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E6A28">
              <w:rPr>
                <w:rFonts w:asciiTheme="minorHAnsi" w:hAnsiTheme="minorHAnsi" w:cstheme="minorHAnsi"/>
                <w:sz w:val="20"/>
                <w:lang w:eastAsia="es-ES"/>
              </w:rPr>
              <w:t>08 de Junio del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ADE" w:rsidRDefault="00780ADE" w:rsidP="00FC47BC">
      <w:r>
        <w:separator/>
      </w:r>
    </w:p>
  </w:endnote>
  <w:endnote w:type="continuationSeparator" w:id="0">
    <w:p w:rsidR="00780ADE" w:rsidRDefault="00780ADE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403C96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ADE" w:rsidRDefault="00780ADE" w:rsidP="00FC47BC">
      <w:r>
        <w:separator/>
      </w:r>
    </w:p>
  </w:footnote>
  <w:footnote w:type="continuationSeparator" w:id="0">
    <w:p w:rsidR="00780ADE" w:rsidRDefault="00780ADE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0A1"/>
    <w:rsid w:val="00002437"/>
    <w:rsid w:val="000151F8"/>
    <w:rsid w:val="00016363"/>
    <w:rsid w:val="000211AC"/>
    <w:rsid w:val="0002306B"/>
    <w:rsid w:val="00023249"/>
    <w:rsid w:val="000632EE"/>
    <w:rsid w:val="00067746"/>
    <w:rsid w:val="00091498"/>
    <w:rsid w:val="00092863"/>
    <w:rsid w:val="000950CA"/>
    <w:rsid w:val="000A3CEE"/>
    <w:rsid w:val="000D0913"/>
    <w:rsid w:val="000E3E18"/>
    <w:rsid w:val="000E3F2C"/>
    <w:rsid w:val="000E6D78"/>
    <w:rsid w:val="000E71D9"/>
    <w:rsid w:val="000F246B"/>
    <w:rsid w:val="000F31BF"/>
    <w:rsid w:val="00100A4E"/>
    <w:rsid w:val="00114D15"/>
    <w:rsid w:val="0015191A"/>
    <w:rsid w:val="0016563E"/>
    <w:rsid w:val="0016659E"/>
    <w:rsid w:val="001872C9"/>
    <w:rsid w:val="00193950"/>
    <w:rsid w:val="001A0B9F"/>
    <w:rsid w:val="001A5616"/>
    <w:rsid w:val="001C2273"/>
    <w:rsid w:val="001D0BEB"/>
    <w:rsid w:val="001D6410"/>
    <w:rsid w:val="001D67EF"/>
    <w:rsid w:val="001E081C"/>
    <w:rsid w:val="001E2B29"/>
    <w:rsid w:val="001E6EB2"/>
    <w:rsid w:val="001F1F8C"/>
    <w:rsid w:val="001F30DF"/>
    <w:rsid w:val="001F7D77"/>
    <w:rsid w:val="00206232"/>
    <w:rsid w:val="00223FD8"/>
    <w:rsid w:val="00231A35"/>
    <w:rsid w:val="00242948"/>
    <w:rsid w:val="00245C0D"/>
    <w:rsid w:val="002462D6"/>
    <w:rsid w:val="00246FB4"/>
    <w:rsid w:val="00252BE7"/>
    <w:rsid w:val="00254921"/>
    <w:rsid w:val="002562B2"/>
    <w:rsid w:val="0026289F"/>
    <w:rsid w:val="00273A8D"/>
    <w:rsid w:val="00274BB0"/>
    <w:rsid w:val="00280F9C"/>
    <w:rsid w:val="002A61FB"/>
    <w:rsid w:val="002A6C67"/>
    <w:rsid w:val="002B493A"/>
    <w:rsid w:val="002C1CB2"/>
    <w:rsid w:val="002C2B39"/>
    <w:rsid w:val="002D3820"/>
    <w:rsid w:val="002E4832"/>
    <w:rsid w:val="002F6A2C"/>
    <w:rsid w:val="00325832"/>
    <w:rsid w:val="003407E8"/>
    <w:rsid w:val="003459BD"/>
    <w:rsid w:val="0036065B"/>
    <w:rsid w:val="0036475A"/>
    <w:rsid w:val="00367D62"/>
    <w:rsid w:val="003778A6"/>
    <w:rsid w:val="00387B22"/>
    <w:rsid w:val="003A14AE"/>
    <w:rsid w:val="003A195D"/>
    <w:rsid w:val="003A7429"/>
    <w:rsid w:val="003A76D6"/>
    <w:rsid w:val="003B197E"/>
    <w:rsid w:val="003B6A0C"/>
    <w:rsid w:val="003C7564"/>
    <w:rsid w:val="003D2B37"/>
    <w:rsid w:val="003D7DB2"/>
    <w:rsid w:val="003E4BDF"/>
    <w:rsid w:val="003E74EA"/>
    <w:rsid w:val="003F340A"/>
    <w:rsid w:val="00403C96"/>
    <w:rsid w:val="00405E63"/>
    <w:rsid w:val="00413F47"/>
    <w:rsid w:val="00424D3F"/>
    <w:rsid w:val="0042666D"/>
    <w:rsid w:val="00436C40"/>
    <w:rsid w:val="0044064F"/>
    <w:rsid w:val="00443351"/>
    <w:rsid w:val="00443A5E"/>
    <w:rsid w:val="004575D7"/>
    <w:rsid w:val="004657A5"/>
    <w:rsid w:val="00474B80"/>
    <w:rsid w:val="00475E06"/>
    <w:rsid w:val="00482A0D"/>
    <w:rsid w:val="00490E14"/>
    <w:rsid w:val="004914E4"/>
    <w:rsid w:val="00493B5E"/>
    <w:rsid w:val="004A3EF0"/>
    <w:rsid w:val="004A4425"/>
    <w:rsid w:val="004A7B25"/>
    <w:rsid w:val="004B088F"/>
    <w:rsid w:val="004B1AA4"/>
    <w:rsid w:val="004C610F"/>
    <w:rsid w:val="004C75EA"/>
    <w:rsid w:val="004D3FA0"/>
    <w:rsid w:val="004D797A"/>
    <w:rsid w:val="004F0507"/>
    <w:rsid w:val="004F6FF8"/>
    <w:rsid w:val="00501E7D"/>
    <w:rsid w:val="00505B58"/>
    <w:rsid w:val="00511A7E"/>
    <w:rsid w:val="005120B5"/>
    <w:rsid w:val="0051418C"/>
    <w:rsid w:val="00514A3B"/>
    <w:rsid w:val="0051515E"/>
    <w:rsid w:val="00527641"/>
    <w:rsid w:val="005343A7"/>
    <w:rsid w:val="00534E1F"/>
    <w:rsid w:val="00535F4B"/>
    <w:rsid w:val="00541C3C"/>
    <w:rsid w:val="005519C3"/>
    <w:rsid w:val="0058564D"/>
    <w:rsid w:val="00587537"/>
    <w:rsid w:val="0059188B"/>
    <w:rsid w:val="00594C84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3657C"/>
    <w:rsid w:val="0064182E"/>
    <w:rsid w:val="00644CCC"/>
    <w:rsid w:val="00651581"/>
    <w:rsid w:val="0065444B"/>
    <w:rsid w:val="0066526F"/>
    <w:rsid w:val="00666BB7"/>
    <w:rsid w:val="006671EC"/>
    <w:rsid w:val="0066793A"/>
    <w:rsid w:val="006738D5"/>
    <w:rsid w:val="006749B8"/>
    <w:rsid w:val="00681DAE"/>
    <w:rsid w:val="00684268"/>
    <w:rsid w:val="00685F38"/>
    <w:rsid w:val="006903EF"/>
    <w:rsid w:val="006918B8"/>
    <w:rsid w:val="006923D8"/>
    <w:rsid w:val="006A0FAE"/>
    <w:rsid w:val="006A6987"/>
    <w:rsid w:val="006B15A0"/>
    <w:rsid w:val="006B548E"/>
    <w:rsid w:val="006C470A"/>
    <w:rsid w:val="006D50BB"/>
    <w:rsid w:val="006E0F74"/>
    <w:rsid w:val="006E670E"/>
    <w:rsid w:val="006F2E56"/>
    <w:rsid w:val="006F3663"/>
    <w:rsid w:val="006F6513"/>
    <w:rsid w:val="00701991"/>
    <w:rsid w:val="00703691"/>
    <w:rsid w:val="00721B73"/>
    <w:rsid w:val="0072291C"/>
    <w:rsid w:val="00736464"/>
    <w:rsid w:val="00754EF4"/>
    <w:rsid w:val="007600F4"/>
    <w:rsid w:val="00760B23"/>
    <w:rsid w:val="00763F46"/>
    <w:rsid w:val="007670A6"/>
    <w:rsid w:val="00770A0A"/>
    <w:rsid w:val="00772315"/>
    <w:rsid w:val="00775A7A"/>
    <w:rsid w:val="007807DA"/>
    <w:rsid w:val="00780ADE"/>
    <w:rsid w:val="0078122C"/>
    <w:rsid w:val="007836DC"/>
    <w:rsid w:val="0078395D"/>
    <w:rsid w:val="00790ADE"/>
    <w:rsid w:val="00791AAE"/>
    <w:rsid w:val="00791F75"/>
    <w:rsid w:val="00793DC6"/>
    <w:rsid w:val="007A1AE0"/>
    <w:rsid w:val="007A41ED"/>
    <w:rsid w:val="007F5483"/>
    <w:rsid w:val="00805A66"/>
    <w:rsid w:val="0081482C"/>
    <w:rsid w:val="00823937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5734A"/>
    <w:rsid w:val="00864B1B"/>
    <w:rsid w:val="00864D95"/>
    <w:rsid w:val="00865E5D"/>
    <w:rsid w:val="00872EB5"/>
    <w:rsid w:val="008754FA"/>
    <w:rsid w:val="00877603"/>
    <w:rsid w:val="00891933"/>
    <w:rsid w:val="008A5C61"/>
    <w:rsid w:val="008D2ACE"/>
    <w:rsid w:val="008D5A89"/>
    <w:rsid w:val="008F2094"/>
    <w:rsid w:val="008F512F"/>
    <w:rsid w:val="00900263"/>
    <w:rsid w:val="00911846"/>
    <w:rsid w:val="00913CAE"/>
    <w:rsid w:val="0092495F"/>
    <w:rsid w:val="0092739B"/>
    <w:rsid w:val="00947778"/>
    <w:rsid w:val="009501EF"/>
    <w:rsid w:val="00953597"/>
    <w:rsid w:val="00955B28"/>
    <w:rsid w:val="00983F91"/>
    <w:rsid w:val="00993970"/>
    <w:rsid w:val="00995E77"/>
    <w:rsid w:val="00996665"/>
    <w:rsid w:val="00997DCC"/>
    <w:rsid w:val="009A7143"/>
    <w:rsid w:val="009B0489"/>
    <w:rsid w:val="009C37F2"/>
    <w:rsid w:val="009E1315"/>
    <w:rsid w:val="009E7A02"/>
    <w:rsid w:val="009F4230"/>
    <w:rsid w:val="00A0013B"/>
    <w:rsid w:val="00A11EA0"/>
    <w:rsid w:val="00A24A02"/>
    <w:rsid w:val="00A261B0"/>
    <w:rsid w:val="00A328DC"/>
    <w:rsid w:val="00A33D9A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E6686"/>
    <w:rsid w:val="00AE6A28"/>
    <w:rsid w:val="00AF11CF"/>
    <w:rsid w:val="00B05893"/>
    <w:rsid w:val="00B256F2"/>
    <w:rsid w:val="00B32F92"/>
    <w:rsid w:val="00B32FB8"/>
    <w:rsid w:val="00B40889"/>
    <w:rsid w:val="00B50C20"/>
    <w:rsid w:val="00B50D96"/>
    <w:rsid w:val="00B57CAA"/>
    <w:rsid w:val="00B66AD0"/>
    <w:rsid w:val="00B74C88"/>
    <w:rsid w:val="00B74CA2"/>
    <w:rsid w:val="00B918F2"/>
    <w:rsid w:val="00BA10A4"/>
    <w:rsid w:val="00BA1539"/>
    <w:rsid w:val="00BB255A"/>
    <w:rsid w:val="00BB5257"/>
    <w:rsid w:val="00BB7B24"/>
    <w:rsid w:val="00BC2C2A"/>
    <w:rsid w:val="00BC3871"/>
    <w:rsid w:val="00BC6848"/>
    <w:rsid w:val="00BD0D05"/>
    <w:rsid w:val="00BD32C1"/>
    <w:rsid w:val="00BD4852"/>
    <w:rsid w:val="00BD4FBC"/>
    <w:rsid w:val="00BE48AB"/>
    <w:rsid w:val="00BE68F1"/>
    <w:rsid w:val="00BF14A5"/>
    <w:rsid w:val="00BF3634"/>
    <w:rsid w:val="00C058D5"/>
    <w:rsid w:val="00C1502A"/>
    <w:rsid w:val="00C24E3E"/>
    <w:rsid w:val="00C275B8"/>
    <w:rsid w:val="00C41E16"/>
    <w:rsid w:val="00C51DCC"/>
    <w:rsid w:val="00C57511"/>
    <w:rsid w:val="00C605FE"/>
    <w:rsid w:val="00C62D61"/>
    <w:rsid w:val="00C75F92"/>
    <w:rsid w:val="00C77189"/>
    <w:rsid w:val="00C80A4A"/>
    <w:rsid w:val="00CA2CC7"/>
    <w:rsid w:val="00CB39CA"/>
    <w:rsid w:val="00CC5792"/>
    <w:rsid w:val="00CE1FBE"/>
    <w:rsid w:val="00CE5D5E"/>
    <w:rsid w:val="00CE70C7"/>
    <w:rsid w:val="00CF34BE"/>
    <w:rsid w:val="00D00C56"/>
    <w:rsid w:val="00D056DD"/>
    <w:rsid w:val="00D1209C"/>
    <w:rsid w:val="00D219A3"/>
    <w:rsid w:val="00D23643"/>
    <w:rsid w:val="00D3233C"/>
    <w:rsid w:val="00D341AB"/>
    <w:rsid w:val="00D46109"/>
    <w:rsid w:val="00D46DF8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5504"/>
    <w:rsid w:val="00DC7F51"/>
    <w:rsid w:val="00DD0ACE"/>
    <w:rsid w:val="00DE28E6"/>
    <w:rsid w:val="00DE7F4F"/>
    <w:rsid w:val="00DF15A4"/>
    <w:rsid w:val="00DF5C11"/>
    <w:rsid w:val="00E0032D"/>
    <w:rsid w:val="00E05E34"/>
    <w:rsid w:val="00E40D10"/>
    <w:rsid w:val="00E42442"/>
    <w:rsid w:val="00E42745"/>
    <w:rsid w:val="00E57AF4"/>
    <w:rsid w:val="00E62AD7"/>
    <w:rsid w:val="00E825B7"/>
    <w:rsid w:val="00E864F0"/>
    <w:rsid w:val="00E97BB3"/>
    <w:rsid w:val="00EA15F1"/>
    <w:rsid w:val="00EA18DE"/>
    <w:rsid w:val="00EA3240"/>
    <w:rsid w:val="00EA4244"/>
    <w:rsid w:val="00EB1D87"/>
    <w:rsid w:val="00EB49D8"/>
    <w:rsid w:val="00EB68DB"/>
    <w:rsid w:val="00EC5B27"/>
    <w:rsid w:val="00EE276F"/>
    <w:rsid w:val="00EE333C"/>
    <w:rsid w:val="00EF077C"/>
    <w:rsid w:val="00EF7FEE"/>
    <w:rsid w:val="00F0103F"/>
    <w:rsid w:val="00F0188C"/>
    <w:rsid w:val="00F11765"/>
    <w:rsid w:val="00F34200"/>
    <w:rsid w:val="00F37DA6"/>
    <w:rsid w:val="00F478A9"/>
    <w:rsid w:val="00F50F73"/>
    <w:rsid w:val="00F5519B"/>
    <w:rsid w:val="00F76121"/>
    <w:rsid w:val="00F87BCB"/>
    <w:rsid w:val="00F94680"/>
    <w:rsid w:val="00FA2C27"/>
    <w:rsid w:val="00FA47B2"/>
    <w:rsid w:val="00FA61A4"/>
    <w:rsid w:val="00FA7D3A"/>
    <w:rsid w:val="00FB52CC"/>
    <w:rsid w:val="00FC47BC"/>
    <w:rsid w:val="00FD08E7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8D5A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8D5A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unhideWhenUsed/>
    <w:rsid w:val="008D5A8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C" w:eastAsia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55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5504"/>
    <w:rPr>
      <w:rFonts w:ascii="Tahoma" w:eastAsia="Times New Roman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2B49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8D5A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8D5A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unhideWhenUsed/>
    <w:rsid w:val="008D5A8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C" w:eastAsia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55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5504"/>
    <w:rPr>
      <w:rFonts w:ascii="Tahoma" w:eastAsia="Times New Roman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2B49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54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C1A8-291C-4199-8BDE-D6FBEB750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410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nlcardenas</cp:lastModifiedBy>
  <cp:revision>12</cp:revision>
  <dcterms:created xsi:type="dcterms:W3CDTF">2012-06-15T20:19:00Z</dcterms:created>
  <dcterms:modified xsi:type="dcterms:W3CDTF">2012-06-25T22:34:00Z</dcterms:modified>
</cp:coreProperties>
</file>